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2936D59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E55549" w:rsidRPr="00557D6F">
        <w:rPr>
          <w:rFonts w:ascii="Arial" w:hAnsi="Arial" w:cs="Arial"/>
          <w:b/>
          <w:bCs/>
          <w:sz w:val="22"/>
        </w:rPr>
        <w:t>10</w:t>
      </w:r>
      <w:r w:rsidR="00E55549">
        <w:rPr>
          <w:rFonts w:ascii="Arial" w:hAnsi="Arial" w:cs="Arial"/>
          <w:b/>
          <w:bCs/>
          <w:sz w:val="22"/>
        </w:rPr>
        <w:t>5bis</w:t>
      </w:r>
      <w:r>
        <w:rPr>
          <w:rFonts w:ascii="Arial" w:hAnsi="Arial" w:cs="Arial"/>
          <w:b/>
          <w:bCs/>
          <w:sz w:val="22"/>
        </w:rPr>
        <w:tab/>
      </w:r>
      <w:r w:rsidR="008F35E6" w:rsidRPr="008F35E6">
        <w:rPr>
          <w:rFonts w:ascii="Arial" w:hAnsi="Arial" w:cs="Arial"/>
          <w:b/>
          <w:bCs/>
          <w:sz w:val="22"/>
        </w:rPr>
        <w:t>R2-</w:t>
      </w:r>
      <w:r w:rsidR="001D667C" w:rsidRPr="008F35E6">
        <w:rPr>
          <w:rFonts w:ascii="Arial" w:hAnsi="Arial" w:cs="Arial"/>
          <w:b/>
          <w:bCs/>
          <w:sz w:val="22"/>
        </w:rPr>
        <w:t>1</w:t>
      </w:r>
      <w:r w:rsidR="001D667C">
        <w:rPr>
          <w:rFonts w:ascii="Arial" w:hAnsi="Arial" w:cs="Arial"/>
          <w:b/>
          <w:bCs/>
          <w:sz w:val="22"/>
        </w:rPr>
        <w:t>9</w:t>
      </w:r>
      <w:r w:rsidR="001D667C">
        <w:rPr>
          <w:rFonts w:ascii="Arial" w:hAnsi="Arial" w:cs="Arial"/>
          <w:b/>
          <w:bCs/>
          <w:sz w:val="22"/>
        </w:rPr>
        <w:t>04076</w:t>
      </w:r>
      <w:r w:rsidR="001D667C">
        <w:rPr>
          <w:rFonts w:ascii="Arial" w:hAnsi="Arial" w:cs="Arial"/>
          <w:b/>
          <w:bCs/>
          <w:sz w:val="22"/>
        </w:rPr>
        <w:t xml:space="preserve"> </w:t>
      </w:r>
    </w:p>
    <w:p w14:paraId="619B785A" w14:textId="4824814A" w:rsidR="00463675" w:rsidRDefault="00E55549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Xi’an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8</w:t>
      </w:r>
      <w:r w:rsidR="004D1605" w:rsidRPr="004D1605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2</w:t>
      </w:r>
      <w:r w:rsidR="004D1605" w:rsidRPr="004D160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April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  <w:bookmarkStart w:id="0" w:name="_GoBack"/>
      <w:bookmarkEnd w:id="0"/>
    </w:p>
    <w:p w14:paraId="5186F3C4" w14:textId="5914B162" w:rsidR="00463675" w:rsidRPr="00385529" w:rsidRDefault="00463675" w:rsidP="00E55549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E3E00">
        <w:rPr>
          <w:rFonts w:ascii="Arial" w:hAnsi="Arial" w:cs="Arial"/>
          <w:b/>
        </w:rPr>
        <w:t xml:space="preserve">[Draft] </w:t>
      </w:r>
      <w:r w:rsidR="00E55549">
        <w:rPr>
          <w:rFonts w:ascii="Arial" w:hAnsi="Arial" w:cs="Arial"/>
          <w:bCs/>
        </w:rPr>
        <w:t xml:space="preserve">Reply LS on Automatic Restoration of GFBR QoS </w:t>
      </w:r>
    </w:p>
    <w:p w14:paraId="4142800B" w14:textId="09E5F26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55549">
        <w:rPr>
          <w:rFonts w:ascii="Arial" w:hAnsi="Arial" w:cs="Arial"/>
          <w:bCs/>
        </w:rPr>
        <w:t>LS on Automatic Restoration of GFBR QoS (S2-1902906)</w:t>
      </w:r>
    </w:p>
    <w:p w14:paraId="2F36F7AB" w14:textId="51C0FFA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14:paraId="6AC83482" w14:textId="540EFFB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B3E5F" w:rsidRPr="00946218">
        <w:rPr>
          <w:rFonts w:ascii="Arial" w:hAnsi="Arial" w:cs="Arial"/>
          <w:bCs/>
        </w:rPr>
        <w:t>FS_5G_URLLC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94F700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CE3E00">
        <w:rPr>
          <w:rFonts w:ascii="Arial" w:hAnsi="Arial" w:cs="Arial"/>
          <w:bCs/>
        </w:rPr>
        <w:t>Nokia, Nokia Shanghai Bell [</w:t>
      </w:r>
      <w:r w:rsidR="00A8524C" w:rsidRPr="008F35E6">
        <w:rPr>
          <w:rFonts w:ascii="Arial" w:hAnsi="Arial" w:cs="Arial"/>
          <w:bCs/>
        </w:rPr>
        <w:t>TSG RAN WG2</w:t>
      </w:r>
      <w:r w:rsidR="00CE3E00">
        <w:rPr>
          <w:rFonts w:ascii="Arial" w:hAnsi="Arial" w:cs="Arial"/>
          <w:bCs/>
        </w:rPr>
        <w:t>]</w:t>
      </w:r>
    </w:p>
    <w:p w14:paraId="706E9330" w14:textId="3F6BF3B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55549">
        <w:rPr>
          <w:rFonts w:ascii="Arial" w:hAnsi="Arial" w:cs="Arial"/>
          <w:bCs/>
        </w:rPr>
        <w:t>SA2</w:t>
      </w:r>
    </w:p>
    <w:p w14:paraId="4EFE95BE" w14:textId="7545108C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E55549">
        <w:rPr>
          <w:rFonts w:ascii="Arial" w:hAnsi="Arial" w:cs="Arial"/>
          <w:bCs/>
        </w:rPr>
        <w:t>RAN3, RAN1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4CD124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44AF">
        <w:rPr>
          <w:rFonts w:cs="Arial"/>
          <w:b w:val="0"/>
          <w:bCs/>
        </w:rPr>
        <w:t>Ping-Heng (Wallace) Kuo</w:t>
      </w:r>
    </w:p>
    <w:p w14:paraId="2748A78E" w14:textId="77E94614" w:rsidR="00463675" w:rsidRPr="004466E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4466EA">
        <w:rPr>
          <w:rFonts w:cs="Arial"/>
          <w:lang w:val="fr-FR"/>
        </w:rPr>
        <w:t xml:space="preserve">E-mail </w:t>
      </w:r>
      <w:proofErr w:type="spellStart"/>
      <w:proofErr w:type="gramStart"/>
      <w:r w:rsidRPr="004466EA">
        <w:rPr>
          <w:rFonts w:cs="Arial"/>
          <w:lang w:val="fr-FR"/>
        </w:rPr>
        <w:t>Address</w:t>
      </w:r>
      <w:proofErr w:type="spellEnd"/>
      <w:r w:rsidRPr="004466EA">
        <w:rPr>
          <w:rFonts w:cs="Arial"/>
          <w:lang w:val="fr-FR"/>
        </w:rPr>
        <w:t>:</w:t>
      </w:r>
      <w:proofErr w:type="gramEnd"/>
      <w:r w:rsidRPr="004466EA">
        <w:rPr>
          <w:rFonts w:cs="Arial"/>
          <w:b w:val="0"/>
          <w:bCs/>
          <w:lang w:val="fr-FR"/>
        </w:rPr>
        <w:tab/>
      </w:r>
      <w:r w:rsidR="00C544AF" w:rsidRPr="004466EA">
        <w:rPr>
          <w:rFonts w:cs="Arial"/>
          <w:b w:val="0"/>
          <w:bCs/>
          <w:lang w:val="fr-FR"/>
        </w:rPr>
        <w:t>ping-heng.kuo</w:t>
      </w:r>
      <w:r w:rsidR="00385529" w:rsidRPr="004466EA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4466EA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FB0082E" w14:textId="5A746BA6" w:rsidR="007F49DD" w:rsidRDefault="007F49DD" w:rsidP="00681C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7D7B8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thanks SA2 to consult RAN</w:t>
      </w:r>
      <w:r w:rsidR="007D7B8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on</w:t>
      </w:r>
      <w:r w:rsidR="00637001">
        <w:rPr>
          <w:rFonts w:ascii="Arial" w:hAnsi="Arial" w:cs="Arial"/>
        </w:rPr>
        <w:t xml:space="preserve"> solutions targeting at</w:t>
      </w:r>
      <w:r>
        <w:rPr>
          <w:rFonts w:ascii="Arial" w:hAnsi="Arial" w:cs="Arial"/>
        </w:rPr>
        <w:t xml:space="preserve"> automatic restoration of GFBR QoS</w:t>
      </w:r>
      <w:r w:rsidR="00D04F55">
        <w:rPr>
          <w:rFonts w:ascii="Arial" w:hAnsi="Arial" w:cs="Arial"/>
        </w:rPr>
        <w:t xml:space="preserve">. As requested by SA2 in S2-1902906, the feedback relating to Component B and Component C of </w:t>
      </w:r>
      <w:r w:rsidR="001B059D">
        <w:rPr>
          <w:rFonts w:ascii="Arial" w:hAnsi="Arial" w:cs="Arial"/>
        </w:rPr>
        <w:t xml:space="preserve">the one company’s proposal </w:t>
      </w:r>
      <w:r w:rsidR="00D04F55">
        <w:rPr>
          <w:rFonts w:ascii="Arial" w:hAnsi="Arial" w:cs="Arial"/>
        </w:rPr>
        <w:t xml:space="preserve">solution described in the Annex B of S2-1902906 </w:t>
      </w:r>
      <w:r w:rsidR="00B61CAB">
        <w:rPr>
          <w:rFonts w:ascii="Arial" w:hAnsi="Arial" w:cs="Arial"/>
        </w:rPr>
        <w:t xml:space="preserve">is </w:t>
      </w:r>
      <w:r w:rsidR="00D04F55">
        <w:rPr>
          <w:rFonts w:ascii="Arial" w:hAnsi="Arial" w:cs="Arial"/>
        </w:rPr>
        <w:t>provided below.</w:t>
      </w:r>
    </w:p>
    <w:p w14:paraId="43E2A176" w14:textId="6858FD50" w:rsidR="007D7B85" w:rsidRDefault="007D7B85" w:rsidP="007F49DD">
      <w:pPr>
        <w:rPr>
          <w:rFonts w:ascii="Arial" w:hAnsi="Arial" w:cs="Arial"/>
        </w:rPr>
      </w:pPr>
    </w:p>
    <w:p w14:paraId="7470787C" w14:textId="3F52A296" w:rsidR="00B61CAB" w:rsidRDefault="00637001" w:rsidP="00681C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Regarding Component B, f</w:t>
      </w:r>
      <w:r w:rsidR="00D04F55">
        <w:rPr>
          <w:rFonts w:ascii="Arial" w:hAnsi="Arial" w:cs="Arial"/>
        </w:rPr>
        <w:t xml:space="preserve">rom RAN2 perspective, </w:t>
      </w:r>
      <w:r w:rsidR="00583FDD">
        <w:rPr>
          <w:rFonts w:ascii="Arial" w:hAnsi="Arial" w:cs="Arial"/>
        </w:rPr>
        <w:t>the</w:t>
      </w:r>
      <w:r w:rsidR="00D04F55">
        <w:rPr>
          <w:rFonts w:ascii="Arial" w:hAnsi="Arial" w:cs="Arial"/>
        </w:rPr>
        <w:t xml:space="preserve"> </w:t>
      </w:r>
      <w:r w:rsidR="00B61CAB">
        <w:rPr>
          <w:rFonts w:ascii="Arial" w:hAnsi="Arial" w:cs="Arial"/>
        </w:rPr>
        <w:t>NG-</w:t>
      </w:r>
      <w:r w:rsidR="00D04F55">
        <w:rPr>
          <w:rFonts w:ascii="Arial" w:hAnsi="Arial" w:cs="Arial"/>
        </w:rPr>
        <w:t xml:space="preserve">RAN </w:t>
      </w:r>
      <w:r w:rsidR="00B61CAB">
        <w:rPr>
          <w:rFonts w:ascii="Arial" w:hAnsi="Arial" w:cs="Arial"/>
        </w:rPr>
        <w:t xml:space="preserve">node </w:t>
      </w:r>
      <w:r w:rsidR="00D04F55">
        <w:rPr>
          <w:rFonts w:ascii="Arial" w:hAnsi="Arial" w:cs="Arial"/>
        </w:rPr>
        <w:t xml:space="preserve">shall be able to realize the guaranteed bit rate required by the QoS flow </w:t>
      </w:r>
      <w:r>
        <w:rPr>
          <w:rFonts w:ascii="Arial" w:hAnsi="Arial" w:cs="Arial"/>
        </w:rPr>
        <w:t xml:space="preserve">if </w:t>
      </w:r>
      <w:r w:rsidR="00D04F55">
        <w:rPr>
          <w:rFonts w:ascii="Arial" w:hAnsi="Arial" w:cs="Arial"/>
        </w:rPr>
        <w:t xml:space="preserve">it is admitted </w:t>
      </w:r>
      <w:r>
        <w:rPr>
          <w:rFonts w:ascii="Arial" w:hAnsi="Arial" w:cs="Arial"/>
        </w:rPr>
        <w:t>via the</w:t>
      </w:r>
      <w:r w:rsidR="00D04F55">
        <w:rPr>
          <w:rFonts w:ascii="Arial" w:hAnsi="Arial" w:cs="Arial"/>
        </w:rPr>
        <w:t xml:space="preserve"> admission control. Therefore, the “3 steps admission control” described in the Annex B of S2-1902906 </w:t>
      </w:r>
      <w:r w:rsidR="000A071A">
        <w:rPr>
          <w:rFonts w:ascii="Arial" w:hAnsi="Arial" w:cs="Arial"/>
        </w:rPr>
        <w:t xml:space="preserve">dilutes the meaning of admission control and GBR, the impacts </w:t>
      </w:r>
      <w:r w:rsidR="00D96529">
        <w:rPr>
          <w:rFonts w:ascii="Arial" w:hAnsi="Arial" w:cs="Arial"/>
        </w:rPr>
        <w:t xml:space="preserve">of </w:t>
      </w:r>
      <w:r w:rsidR="000A071A">
        <w:rPr>
          <w:rFonts w:ascii="Arial" w:hAnsi="Arial" w:cs="Arial"/>
        </w:rPr>
        <w:t>such deviation from the basic definition</w:t>
      </w:r>
      <w:r w:rsidR="00D96529">
        <w:rPr>
          <w:rFonts w:ascii="Arial" w:hAnsi="Arial" w:cs="Arial"/>
        </w:rPr>
        <w:t>s</w:t>
      </w:r>
      <w:r w:rsidR="000A071A">
        <w:rPr>
          <w:rFonts w:ascii="Arial" w:hAnsi="Arial" w:cs="Arial"/>
        </w:rPr>
        <w:t xml:space="preserve"> would eventually </w:t>
      </w:r>
      <w:r w:rsidR="000A071A" w:rsidRPr="000A071A">
        <w:rPr>
          <w:rFonts w:ascii="Arial" w:hAnsi="Arial" w:cs="Arial"/>
        </w:rPr>
        <w:t>incapacitate</w:t>
      </w:r>
      <w:r w:rsidR="000A071A">
        <w:rPr>
          <w:rFonts w:ascii="Arial" w:hAnsi="Arial" w:cs="Arial"/>
        </w:rPr>
        <w:t xml:space="preserve"> these well-defined mechanisms. </w:t>
      </w:r>
    </w:p>
    <w:p w14:paraId="1E88F08E" w14:textId="603421D1" w:rsidR="00B61CAB" w:rsidRDefault="000A071A" w:rsidP="00681C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Moreover, RAN2 must point out that admission control design is a vendor implementation specific feature, so RAN2 is not able to </w:t>
      </w:r>
      <w:r w:rsidR="00583FDD">
        <w:rPr>
          <w:rFonts w:ascii="Arial" w:hAnsi="Arial" w:cs="Arial"/>
        </w:rPr>
        <w:t xml:space="preserve">assume </w:t>
      </w:r>
      <w:r w:rsidR="006F4EB1">
        <w:rPr>
          <w:rFonts w:ascii="Arial" w:hAnsi="Arial" w:cs="Arial"/>
        </w:rPr>
        <w:t xml:space="preserve">that the admission control mechanism is designed in the way as elaborated in the Annex B of S2-1902906, or </w:t>
      </w:r>
      <w:r w:rsidR="00D96529">
        <w:rPr>
          <w:rFonts w:ascii="Arial" w:hAnsi="Arial" w:cs="Arial"/>
        </w:rPr>
        <w:t xml:space="preserve">in any way </w:t>
      </w:r>
      <w:r w:rsidR="006F4EB1">
        <w:rPr>
          <w:rFonts w:ascii="Arial" w:hAnsi="Arial" w:cs="Arial"/>
        </w:rPr>
        <w:t xml:space="preserve">to guarantee </w:t>
      </w:r>
      <w:r w:rsidR="00637001">
        <w:rPr>
          <w:rFonts w:ascii="Arial" w:hAnsi="Arial" w:cs="Arial"/>
        </w:rPr>
        <w:t xml:space="preserve">that </w:t>
      </w:r>
      <w:r w:rsidR="006F4EB1">
        <w:rPr>
          <w:rFonts w:ascii="Arial" w:hAnsi="Arial" w:cs="Arial"/>
        </w:rPr>
        <w:t>the p</w:t>
      </w:r>
      <w:r w:rsidR="00B61CAB">
        <w:rPr>
          <w:rFonts w:ascii="Arial" w:hAnsi="Arial" w:cs="Arial"/>
        </w:rPr>
        <w:t>rere</w:t>
      </w:r>
      <w:r w:rsidR="006F4EB1">
        <w:rPr>
          <w:rFonts w:ascii="Arial" w:hAnsi="Arial" w:cs="Arial"/>
        </w:rPr>
        <w:t>quisite</w:t>
      </w:r>
      <w:r w:rsidR="00B61CAB">
        <w:rPr>
          <w:rFonts w:ascii="Arial" w:hAnsi="Arial" w:cs="Arial"/>
        </w:rPr>
        <w:t>s</w:t>
      </w:r>
      <w:r w:rsidR="006F4EB1">
        <w:rPr>
          <w:rFonts w:ascii="Arial" w:hAnsi="Arial" w:cs="Arial"/>
        </w:rPr>
        <w:t xml:space="preserve"> required by such solutions (e.g. </w:t>
      </w:r>
      <w:r w:rsidR="00583FDD">
        <w:rPr>
          <w:rFonts w:ascii="Arial" w:hAnsi="Arial" w:cs="Arial"/>
        </w:rPr>
        <w:t xml:space="preserve">prediction of </w:t>
      </w:r>
      <w:r w:rsidR="006F4EB1">
        <w:rPr>
          <w:rFonts w:ascii="Arial" w:hAnsi="Arial" w:cs="Arial"/>
        </w:rPr>
        <w:t>future use of cell radio resources) can be fulfilled.</w:t>
      </w:r>
      <w:r w:rsidR="00583FDD">
        <w:rPr>
          <w:rFonts w:ascii="Arial" w:hAnsi="Arial" w:cs="Arial"/>
        </w:rPr>
        <w:t xml:space="preserve"> </w:t>
      </w:r>
    </w:p>
    <w:p w14:paraId="1B9F9986" w14:textId="795F595E" w:rsidR="007F49DD" w:rsidRDefault="00583FDD" w:rsidP="00681C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Thus, for Component C, RAN2 does not see the need and benefits for the </w:t>
      </w:r>
      <w:r w:rsidR="00B61CAB">
        <w:rPr>
          <w:rFonts w:ascii="Arial" w:hAnsi="Arial" w:cs="Arial"/>
        </w:rPr>
        <w:t>NG-</w:t>
      </w:r>
      <w:r>
        <w:rPr>
          <w:rFonts w:ascii="Arial" w:hAnsi="Arial" w:cs="Arial"/>
        </w:rPr>
        <w:t xml:space="preserve">RAN </w:t>
      </w:r>
      <w:r w:rsidR="00B61CAB">
        <w:rPr>
          <w:rFonts w:ascii="Arial" w:hAnsi="Arial" w:cs="Arial"/>
        </w:rPr>
        <w:t xml:space="preserve">node </w:t>
      </w:r>
      <w:r>
        <w:rPr>
          <w:rFonts w:ascii="Arial" w:hAnsi="Arial" w:cs="Arial"/>
        </w:rPr>
        <w:t xml:space="preserve">to signal resource granting status of GFBR </w:t>
      </w:r>
      <w:r w:rsidR="00681CE5">
        <w:rPr>
          <w:rFonts w:ascii="Arial" w:hAnsi="Arial" w:cs="Arial"/>
        </w:rPr>
        <w:t xml:space="preserve">flow to the UE, considering the </w:t>
      </w:r>
      <w:r>
        <w:rPr>
          <w:rFonts w:ascii="Arial" w:hAnsi="Arial" w:cs="Arial"/>
        </w:rPr>
        <w:t>reasons</w:t>
      </w:r>
      <w:r w:rsidR="00681CE5">
        <w:rPr>
          <w:rFonts w:ascii="Arial" w:hAnsi="Arial" w:cs="Arial"/>
        </w:rPr>
        <w:t xml:space="preserve"> given above. Essentially, RAN2 would suggest that the solutions for this issue should not contradict the existing definitions and framework of admission control and QoS model</w:t>
      </w:r>
      <w:r w:rsidR="00B61CAB">
        <w:rPr>
          <w:rFonts w:ascii="Arial" w:hAnsi="Arial" w:cs="Arial"/>
        </w:rPr>
        <w:t xml:space="preserve"> and would therefore eliminate this one company’s proposal from the candidate solutions of key issue #7</w:t>
      </w:r>
      <w:r w:rsidR="00681CE5">
        <w:rPr>
          <w:rFonts w:ascii="Arial" w:hAnsi="Arial" w:cs="Arial"/>
        </w:rPr>
        <w:t xml:space="preserve">. </w:t>
      </w:r>
    </w:p>
    <w:p w14:paraId="1053AFAC" w14:textId="77777777" w:rsidR="00161F4B" w:rsidRDefault="00161F4B">
      <w:pPr>
        <w:spacing w:after="120"/>
        <w:rPr>
          <w:rFonts w:ascii="Arial" w:hAnsi="Arial" w:cs="Arial"/>
          <w:b/>
        </w:rPr>
      </w:pPr>
    </w:p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8C0940C" w14:textId="77777777" w:rsidR="00DE3158" w:rsidRDefault="00DE3158" w:rsidP="00967283">
      <w:pPr>
        <w:spacing w:after="120"/>
        <w:ind w:left="1985" w:hanging="1985"/>
        <w:rPr>
          <w:rFonts w:ascii="Arial" w:hAnsi="Arial" w:cs="Arial"/>
          <w:b/>
        </w:rPr>
      </w:pPr>
    </w:p>
    <w:p w14:paraId="7E1623A7" w14:textId="77777777" w:rsidR="007579A3" w:rsidRPr="001B39BB" w:rsidRDefault="007579A3" w:rsidP="007579A3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  <w:r w:rsidRPr="001B39BB">
        <w:rPr>
          <w:rFonts w:ascii="Arial" w:hAnsi="Arial" w:cs="Arial"/>
          <w:b/>
        </w:rPr>
        <w:t>:</w:t>
      </w:r>
    </w:p>
    <w:p w14:paraId="3262B46E" w14:textId="4B023A26" w:rsidR="007579A3" w:rsidRDefault="007579A3" w:rsidP="007579A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1B39BB">
        <w:rPr>
          <w:rFonts w:ascii="Arial" w:hAnsi="Arial" w:cs="Arial"/>
        </w:rPr>
        <w:t>RAN</w:t>
      </w:r>
      <w:r>
        <w:rPr>
          <w:rFonts w:ascii="Arial" w:hAnsi="Arial" w:cs="Arial"/>
        </w:rPr>
        <w:t>2</w:t>
      </w:r>
      <w:r w:rsidRPr="001B39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kindly ask SA2 to consider </w:t>
      </w:r>
      <w:r w:rsidR="007D7B85">
        <w:rPr>
          <w:rFonts w:ascii="Arial" w:hAnsi="Arial" w:cs="Arial"/>
        </w:rPr>
        <w:t>RAN2’s</w:t>
      </w:r>
      <w:r>
        <w:rPr>
          <w:rFonts w:ascii="Arial" w:hAnsi="Arial" w:cs="Arial"/>
        </w:rPr>
        <w:t xml:space="preserve"> feedback </w:t>
      </w:r>
      <w:r w:rsidR="00B61CAB">
        <w:rPr>
          <w:rFonts w:ascii="Arial" w:hAnsi="Arial" w:cs="Arial"/>
        </w:rPr>
        <w:t>on the one company’s proposal</w:t>
      </w:r>
      <w:r>
        <w:rPr>
          <w:rFonts w:ascii="Arial" w:hAnsi="Arial" w:cs="Arial"/>
        </w:rPr>
        <w:t xml:space="preserve"> for </w:t>
      </w:r>
      <w:r>
        <w:rPr>
          <w:rFonts w:ascii="Arial" w:hAnsi="Arial" w:cs="Arial"/>
          <w:bCs/>
        </w:rPr>
        <w:t>Automatic Restoration of GFBR QoS.</w:t>
      </w:r>
    </w:p>
    <w:p w14:paraId="38314EA9" w14:textId="77777777" w:rsidR="00DE3158" w:rsidRDefault="00DE3158" w:rsidP="00967283">
      <w:pPr>
        <w:spacing w:after="120"/>
        <w:ind w:left="1985" w:hanging="1985"/>
        <w:rPr>
          <w:rFonts w:ascii="Arial" w:hAnsi="Arial" w:cs="Arial"/>
          <w:b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190CB6C" w14:textId="4FD755BE" w:rsidR="007579A3" w:rsidRDefault="007579A3" w:rsidP="007579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 w:rsidR="004466EA">
        <w:rPr>
          <w:rFonts w:ascii="Arial" w:hAnsi="Arial" w:cs="Arial"/>
          <w:bCs/>
        </w:rPr>
        <w:t>WG2</w:t>
      </w:r>
      <w:r>
        <w:rPr>
          <w:rFonts w:ascii="Arial" w:hAnsi="Arial" w:cs="Arial"/>
          <w:bCs/>
        </w:rPr>
        <w:t>#106       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81131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USA</w:t>
      </w: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5D4D7" w14:textId="77777777" w:rsidR="004152D9" w:rsidRDefault="004152D9">
      <w:r>
        <w:separator/>
      </w:r>
    </w:p>
  </w:endnote>
  <w:endnote w:type="continuationSeparator" w:id="0">
    <w:p w14:paraId="62D7B247" w14:textId="77777777" w:rsidR="004152D9" w:rsidRDefault="004152D9">
      <w:r>
        <w:continuationSeparator/>
      </w:r>
    </w:p>
  </w:endnote>
  <w:endnote w:type="continuationNotice" w:id="1">
    <w:p w14:paraId="17DD9991" w14:textId="77777777" w:rsidR="004152D9" w:rsidRDefault="004152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D0707D" w:rsidRDefault="00D070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D0707D" w:rsidRDefault="00D070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D0707D" w:rsidRDefault="00D07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D6F31" w14:textId="77777777" w:rsidR="004152D9" w:rsidRDefault="004152D9">
      <w:r>
        <w:separator/>
      </w:r>
    </w:p>
  </w:footnote>
  <w:footnote w:type="continuationSeparator" w:id="0">
    <w:p w14:paraId="20808AEA" w14:textId="77777777" w:rsidR="004152D9" w:rsidRDefault="004152D9">
      <w:r>
        <w:continuationSeparator/>
      </w:r>
    </w:p>
  </w:footnote>
  <w:footnote w:type="continuationNotice" w:id="1">
    <w:p w14:paraId="74BEA4F0" w14:textId="77777777" w:rsidR="004152D9" w:rsidRDefault="004152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D0707D" w:rsidRDefault="00D070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D0707D" w:rsidRDefault="00D070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D0707D" w:rsidRDefault="00D07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7"/>
  </w:num>
  <w:num w:numId="4">
    <w:abstractNumId w:val="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6"/>
  </w:num>
  <w:num w:numId="9">
    <w:abstractNumId w:val="10"/>
  </w:num>
  <w:num w:numId="10">
    <w:abstractNumId w:val="9"/>
  </w:num>
  <w:num w:numId="11">
    <w:abstractNumId w:val="5"/>
  </w:num>
  <w:num w:numId="12">
    <w:abstractNumId w:val="11"/>
  </w:num>
  <w:num w:numId="13">
    <w:abstractNumId w:val="13"/>
  </w:num>
  <w:num w:numId="14">
    <w:abstractNumId w:val="8"/>
  </w:num>
  <w:num w:numId="15">
    <w:abstractNumId w:val="2"/>
  </w:num>
  <w:num w:numId="16">
    <w:abstractNumId w:val="6"/>
  </w:num>
  <w:num w:numId="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A071A"/>
    <w:rsid w:val="000A0A33"/>
    <w:rsid w:val="000B6E6B"/>
    <w:rsid w:val="000D113A"/>
    <w:rsid w:val="000E295F"/>
    <w:rsid w:val="000F0AAF"/>
    <w:rsid w:val="000F12FD"/>
    <w:rsid w:val="000F5144"/>
    <w:rsid w:val="001063EA"/>
    <w:rsid w:val="001576BB"/>
    <w:rsid w:val="00161F4B"/>
    <w:rsid w:val="00177DA3"/>
    <w:rsid w:val="00187D63"/>
    <w:rsid w:val="001B008D"/>
    <w:rsid w:val="001B059D"/>
    <w:rsid w:val="001D2108"/>
    <w:rsid w:val="001D667C"/>
    <w:rsid w:val="00200ACF"/>
    <w:rsid w:val="00220708"/>
    <w:rsid w:val="00222A4F"/>
    <w:rsid w:val="0022672E"/>
    <w:rsid w:val="0024067D"/>
    <w:rsid w:val="00254238"/>
    <w:rsid w:val="00261C7D"/>
    <w:rsid w:val="002633C1"/>
    <w:rsid w:val="00270DF0"/>
    <w:rsid w:val="0027716B"/>
    <w:rsid w:val="00277406"/>
    <w:rsid w:val="002823BF"/>
    <w:rsid w:val="00282DA9"/>
    <w:rsid w:val="00283A52"/>
    <w:rsid w:val="0028752E"/>
    <w:rsid w:val="002A0310"/>
    <w:rsid w:val="002A542F"/>
    <w:rsid w:val="002A6E4C"/>
    <w:rsid w:val="002B3E5F"/>
    <w:rsid w:val="002C3CFF"/>
    <w:rsid w:val="002D095E"/>
    <w:rsid w:val="002F1396"/>
    <w:rsid w:val="0030138D"/>
    <w:rsid w:val="0030356A"/>
    <w:rsid w:val="003100EB"/>
    <w:rsid w:val="003221D8"/>
    <w:rsid w:val="00324418"/>
    <w:rsid w:val="003277A4"/>
    <w:rsid w:val="003341F9"/>
    <w:rsid w:val="00335FAB"/>
    <w:rsid w:val="00352AB7"/>
    <w:rsid w:val="003632EE"/>
    <w:rsid w:val="003807F6"/>
    <w:rsid w:val="00385529"/>
    <w:rsid w:val="00390009"/>
    <w:rsid w:val="00390712"/>
    <w:rsid w:val="003945F8"/>
    <w:rsid w:val="003946BE"/>
    <w:rsid w:val="00397D17"/>
    <w:rsid w:val="003A69DF"/>
    <w:rsid w:val="003B117D"/>
    <w:rsid w:val="003B57B9"/>
    <w:rsid w:val="003C3065"/>
    <w:rsid w:val="003C44A3"/>
    <w:rsid w:val="003E0EE0"/>
    <w:rsid w:val="003E69A4"/>
    <w:rsid w:val="003F5408"/>
    <w:rsid w:val="004120BA"/>
    <w:rsid w:val="004147C2"/>
    <w:rsid w:val="004152D9"/>
    <w:rsid w:val="00417F6D"/>
    <w:rsid w:val="00420C5B"/>
    <w:rsid w:val="004307A0"/>
    <w:rsid w:val="00437F70"/>
    <w:rsid w:val="004466EA"/>
    <w:rsid w:val="00452B0D"/>
    <w:rsid w:val="00463675"/>
    <w:rsid w:val="0046375A"/>
    <w:rsid w:val="00496D50"/>
    <w:rsid w:val="004C6071"/>
    <w:rsid w:val="004D1605"/>
    <w:rsid w:val="004D5C8E"/>
    <w:rsid w:val="004E2356"/>
    <w:rsid w:val="004E4B7F"/>
    <w:rsid w:val="004F3AA9"/>
    <w:rsid w:val="0050174F"/>
    <w:rsid w:val="00501F64"/>
    <w:rsid w:val="00505F59"/>
    <w:rsid w:val="00557D6F"/>
    <w:rsid w:val="00580EEE"/>
    <w:rsid w:val="00583FDD"/>
    <w:rsid w:val="00591547"/>
    <w:rsid w:val="005921A6"/>
    <w:rsid w:val="00594DA5"/>
    <w:rsid w:val="005A2C5B"/>
    <w:rsid w:val="005B659E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14FF9"/>
    <w:rsid w:val="00633743"/>
    <w:rsid w:val="00637001"/>
    <w:rsid w:val="00642CAC"/>
    <w:rsid w:val="006431E6"/>
    <w:rsid w:val="0064612C"/>
    <w:rsid w:val="00667F66"/>
    <w:rsid w:val="0067303B"/>
    <w:rsid w:val="006775AB"/>
    <w:rsid w:val="00681CE5"/>
    <w:rsid w:val="006A473B"/>
    <w:rsid w:val="006C4648"/>
    <w:rsid w:val="006C6A48"/>
    <w:rsid w:val="006D016D"/>
    <w:rsid w:val="006D1114"/>
    <w:rsid w:val="006D214B"/>
    <w:rsid w:val="006D4F81"/>
    <w:rsid w:val="006E6EFC"/>
    <w:rsid w:val="006F4EB1"/>
    <w:rsid w:val="006F7688"/>
    <w:rsid w:val="00701A2B"/>
    <w:rsid w:val="007579A3"/>
    <w:rsid w:val="00760CD3"/>
    <w:rsid w:val="007822EF"/>
    <w:rsid w:val="00787EAC"/>
    <w:rsid w:val="007A671D"/>
    <w:rsid w:val="007D514C"/>
    <w:rsid w:val="007D7B85"/>
    <w:rsid w:val="007F49DD"/>
    <w:rsid w:val="00804DB4"/>
    <w:rsid w:val="00806CE3"/>
    <w:rsid w:val="00806E3A"/>
    <w:rsid w:val="0084501F"/>
    <w:rsid w:val="00845F63"/>
    <w:rsid w:val="0084604E"/>
    <w:rsid w:val="00854ACB"/>
    <w:rsid w:val="008612CD"/>
    <w:rsid w:val="00865ED7"/>
    <w:rsid w:val="00881F64"/>
    <w:rsid w:val="008831D9"/>
    <w:rsid w:val="00883DB4"/>
    <w:rsid w:val="0088505E"/>
    <w:rsid w:val="008C003E"/>
    <w:rsid w:val="008D17C0"/>
    <w:rsid w:val="008D1B54"/>
    <w:rsid w:val="008F358E"/>
    <w:rsid w:val="008F35E6"/>
    <w:rsid w:val="008F574D"/>
    <w:rsid w:val="008F581B"/>
    <w:rsid w:val="00907392"/>
    <w:rsid w:val="00916145"/>
    <w:rsid w:val="00917119"/>
    <w:rsid w:val="00923E7C"/>
    <w:rsid w:val="00941A45"/>
    <w:rsid w:val="00941B87"/>
    <w:rsid w:val="00950DE4"/>
    <w:rsid w:val="00952417"/>
    <w:rsid w:val="0096221E"/>
    <w:rsid w:val="00963F53"/>
    <w:rsid w:val="00967283"/>
    <w:rsid w:val="009778A3"/>
    <w:rsid w:val="00984727"/>
    <w:rsid w:val="009B2EB9"/>
    <w:rsid w:val="009D1A5C"/>
    <w:rsid w:val="009D594E"/>
    <w:rsid w:val="009D7198"/>
    <w:rsid w:val="009E27E2"/>
    <w:rsid w:val="009E5C7E"/>
    <w:rsid w:val="009F7D30"/>
    <w:rsid w:val="00A03720"/>
    <w:rsid w:val="00A1282E"/>
    <w:rsid w:val="00A12ABA"/>
    <w:rsid w:val="00A1443B"/>
    <w:rsid w:val="00A151A0"/>
    <w:rsid w:val="00A245CA"/>
    <w:rsid w:val="00A3454C"/>
    <w:rsid w:val="00A40236"/>
    <w:rsid w:val="00A45BD7"/>
    <w:rsid w:val="00A54AB5"/>
    <w:rsid w:val="00A56D45"/>
    <w:rsid w:val="00A63949"/>
    <w:rsid w:val="00A6412A"/>
    <w:rsid w:val="00A64F79"/>
    <w:rsid w:val="00A8524C"/>
    <w:rsid w:val="00AA637B"/>
    <w:rsid w:val="00AE01C6"/>
    <w:rsid w:val="00AE5661"/>
    <w:rsid w:val="00AF3FA4"/>
    <w:rsid w:val="00B1154A"/>
    <w:rsid w:val="00B255A7"/>
    <w:rsid w:val="00B33A9B"/>
    <w:rsid w:val="00B40504"/>
    <w:rsid w:val="00B544D2"/>
    <w:rsid w:val="00B5648B"/>
    <w:rsid w:val="00B61CAB"/>
    <w:rsid w:val="00B66CC7"/>
    <w:rsid w:val="00B70E77"/>
    <w:rsid w:val="00B96E8D"/>
    <w:rsid w:val="00BB0CAD"/>
    <w:rsid w:val="00BE1F84"/>
    <w:rsid w:val="00BE57D7"/>
    <w:rsid w:val="00BE7CC9"/>
    <w:rsid w:val="00BF32CE"/>
    <w:rsid w:val="00C021DE"/>
    <w:rsid w:val="00C10798"/>
    <w:rsid w:val="00C16365"/>
    <w:rsid w:val="00C231ED"/>
    <w:rsid w:val="00C2354D"/>
    <w:rsid w:val="00C40297"/>
    <w:rsid w:val="00C51C0C"/>
    <w:rsid w:val="00C52AEB"/>
    <w:rsid w:val="00C544AF"/>
    <w:rsid w:val="00C750D8"/>
    <w:rsid w:val="00CB4E6F"/>
    <w:rsid w:val="00CE015D"/>
    <w:rsid w:val="00CE3E00"/>
    <w:rsid w:val="00D04F55"/>
    <w:rsid w:val="00D0707D"/>
    <w:rsid w:val="00D23D91"/>
    <w:rsid w:val="00D24338"/>
    <w:rsid w:val="00D32C48"/>
    <w:rsid w:val="00D40BEF"/>
    <w:rsid w:val="00D42DF3"/>
    <w:rsid w:val="00D65530"/>
    <w:rsid w:val="00D74A1C"/>
    <w:rsid w:val="00D75660"/>
    <w:rsid w:val="00D819F9"/>
    <w:rsid w:val="00D876BF"/>
    <w:rsid w:val="00D96529"/>
    <w:rsid w:val="00DC6ACB"/>
    <w:rsid w:val="00DC6C67"/>
    <w:rsid w:val="00DE3158"/>
    <w:rsid w:val="00DF7F04"/>
    <w:rsid w:val="00E15DA7"/>
    <w:rsid w:val="00E43B90"/>
    <w:rsid w:val="00E5415D"/>
    <w:rsid w:val="00E55549"/>
    <w:rsid w:val="00E57BA2"/>
    <w:rsid w:val="00E7017E"/>
    <w:rsid w:val="00E73827"/>
    <w:rsid w:val="00E776AF"/>
    <w:rsid w:val="00E83F3C"/>
    <w:rsid w:val="00EC2503"/>
    <w:rsid w:val="00ED133C"/>
    <w:rsid w:val="00ED4B16"/>
    <w:rsid w:val="00EE512E"/>
    <w:rsid w:val="00EF6E56"/>
    <w:rsid w:val="00F11820"/>
    <w:rsid w:val="00F17587"/>
    <w:rsid w:val="00F23FFC"/>
    <w:rsid w:val="00F31251"/>
    <w:rsid w:val="00F50581"/>
    <w:rsid w:val="00F54C66"/>
    <w:rsid w:val="00F709A9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5AIRPNAIUNRU-859666464-4820</_dlc_DocId>
    <_dlc_DocIdUrl xmlns="71c5aaf6-e6ce-465b-b873-5148d2a4c105">
      <Url>https://nokia.sharepoint.com/sites/c5g/e2earch/_layouts/15/DocIdRedir.aspx?ID=5AIRPNAIUNRU-859666464-4820</Url>
      <Description>5AIRPNAIUNRU-859666464-4820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6</cp:revision>
  <cp:lastPrinted>2002-04-23T00:10:00Z</cp:lastPrinted>
  <dcterms:created xsi:type="dcterms:W3CDTF">2019-03-12T15:46:00Z</dcterms:created>
  <dcterms:modified xsi:type="dcterms:W3CDTF">2019-03-28T11:12:00Z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4ee878f8-67ca-43a5-a120-efb641a54eab</vt:lpwstr>
  </property>
</Properties>
</file>